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153035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146050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CRACKER BARREL OLD COUNTRY STORE,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Tennessee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001-25225</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62-0812904</w:t>
      </w:r>
    </w:p>
    <w:p>
      <w:pPr>
        <w:spacing w:after="0" w:line="3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00" w:space="720"/>
            <w:col w:w="2480"/>
          </w:cols>
          <w:pgMar w:left="320" w:top="603" w:right="339" w:bottom="1440" w:gutter="0" w:footer="0" w:header="0"/>
          <w:type w:val="continuous"/>
        </w:sectPr>
      </w:pPr>
    </w:p>
    <w:p>
      <w:pPr>
        <w:spacing w:after="0" w:line="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305 Hartmann Drive, Lebanon, Tennessee 37087</w:t>
      </w:r>
    </w:p>
    <w:p>
      <w:pPr>
        <w:spacing w:after="0" w:line="3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(615) 444-5533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40" w:firstLine="8"/>
        <w:spacing w:after="0" w:line="422"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39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16"/>
        </w:trPr>
        <w:tc>
          <w:tcPr>
            <w:tcW w:w="3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registered</w:t>
            </w:r>
          </w:p>
        </w:tc>
      </w:tr>
      <w:tr>
        <w:trPr>
          <w:trHeight w:val="216"/>
        </w:trPr>
        <w:tc>
          <w:tcPr>
            <w:tcW w:w="39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CBRL</w:t>
            </w:r>
          </w:p>
        </w:tc>
        <w:tc>
          <w:tcPr>
            <w:tcW w:w="31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9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Rights to Purchase Series A Junior Participating</w:t>
            </w:r>
          </w:p>
        </w:tc>
        <w:tc>
          <w:tcPr>
            <w:tcW w:w="2560" w:type="dxa"/>
            <w:vAlign w:val="bottom"/>
          </w:tcPr>
          <w:p>
            <w:pPr>
              <w:spacing w:after="0"/>
              <w:rPr>
                <w:sz w:val="18"/>
                <w:szCs w:val="18"/>
                <w:color w:val="auto"/>
              </w:rPr>
            </w:pPr>
          </w:p>
        </w:tc>
        <w:tc>
          <w:tcPr>
            <w:tcW w:w="31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39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Preferred Stock (Par Value $0.01)</w:t>
            </w:r>
          </w:p>
        </w:tc>
        <w:tc>
          <w:tcPr>
            <w:tcW w:w="256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13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reported, on December 5, 2025, the Senior Vice President, General Counsel and Corporate Secretary of Cracker Barrel Old Country Store, Inc. (the “Company”), Richard Wolfson, notified the Company of his intent to retire on May 5, 2026, as contemplated under the terms of his Consulting Agreement with the Company. In recognition of a successful transition and succession planning process facilitated by this advance notice, the Board of Directors of the Company determined that Mr. Wolfson could take early retirement on May 1, 2026, and promoted the Company’s Vice President and Deputy General Counsel, Jennifer Lankford, as the Company’s next Senior Vice President, General Counsel and Corporate Secretary effective upon Mr. Wolfson’s retirement. Mr. Wolfson will receive the previously disclosed benefits under the Consulting Agreement, which is now terminated, and his previously granted incentive compensation awards will settle in accordance with the terms of the equity incentive plans pursuant to which such awards were granted, in each case prorated relative to Mr. Wolfson’s retirement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7"/>
          <w:szCs w:val="17"/>
          <w:color w:val="auto"/>
        </w:rPr>
        <w:t>CRACKER BARREL OLD COUNTRY STORE,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Lankford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Lankford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2026-05-01T15:34:56Z</dcterms:created>
  <dcterms:modified xsi:type="dcterms:W3CDTF">2026-05-01T15:34:56Z</dcterms:modified>
</cp:coreProperties>
</file>