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5926d1_8k.htm"/>
      <w:bookmarkStart w:id="1" w:name="kstm2625926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D_edei--DocumentType_c20260923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val="false"/>
          <w:i w:val="false"/>
          <w:caps w:val="false"/>
          <w:smallCaps w:val="false"/>
          <w:sz w:val="20"/>
        </w:rPr>
        <w:t>September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5_edei--EntityRegistrantName_c2026"/>
      <w:bookmarkEnd w:id="4"/>
      <w:r>
        <w:rPr>
          <w:rFonts w:ascii="Times New Roman;Times;Serif" w:hAnsi="Times New Roman;Times;Serif"/>
          <w:b/>
          <w:i w:val="false"/>
          <w:caps w:val="false"/>
          <w:smallCaps w:val="false"/>
          <w:sz w:val="28"/>
        </w:rPr>
        <w:t>CRACKER BARREL OLD COUNTRY STORE,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165" w:type="dxa"/>
        <w:jc w:val="left"/>
        <w:tblInd w:w="0" w:type="dxa"/>
        <w:tblLayout w:type="fixed"/>
        <w:tblCellMar>
          <w:top w:w="0" w:type="dxa"/>
          <w:left w:w="0" w:type="dxa"/>
          <w:bottom w:w="0" w:type="dxa"/>
          <w:right w:w="0" w:type="dxa"/>
        </w:tblCellMar>
      </w:tblPr>
      <w:tblGrid>
        <w:gridCol w:w="2255"/>
        <w:gridCol w:w="60"/>
        <w:gridCol w:w="2210"/>
        <w:gridCol w:w="60"/>
        <w:gridCol w:w="1580"/>
      </w:tblGrid>
      <w:tr>
        <w:trPr/>
        <w:tc>
          <w:tcPr>
            <w:tcW w:w="2255" w:type="dxa"/>
            <w:tcBorders/>
            <w:vAlign w:val="center"/>
          </w:tcPr>
          <w:p>
            <w:pPr>
              <w:pStyle w:val="TableContents"/>
              <w:bidi w:val="0"/>
              <w:spacing w:before="0" w:after="283"/>
              <w:jc w:val="center"/>
              <w:rPr>
                <w:b/>
                <w:sz w:val="20"/>
              </w:rPr>
            </w:pPr>
            <w:bookmarkStart w:id="5" w:name="xdx_90F_edei--EntityIncorporationStateCo"/>
            <w:bookmarkEnd w:id="5"/>
            <w:r>
              <w:rPr>
                <w:b/>
                <w:sz w:val="20"/>
              </w:rPr>
              <w:t>Tennessee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7_edei--EntityFileNumber_c20260923"/>
            <w:bookmarkEnd w:id="6"/>
            <w:r>
              <w:rPr>
                <w:b/>
                <w:sz w:val="20"/>
              </w:rPr>
              <w:t>001-25225</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b/>
                <w:sz w:val="20"/>
              </w:rPr>
            </w:pPr>
            <w:bookmarkStart w:id="7" w:name="xdx_903_edei--EntityTaxIdentificationNum"/>
            <w:bookmarkEnd w:id="7"/>
            <w:r>
              <w:rPr>
                <w:b/>
                <w:sz w:val="20"/>
              </w:rPr>
              <w:t>62-0812904</w:t>
            </w:r>
          </w:p>
        </w:tc>
      </w:tr>
      <w:tr>
        <w:trPr/>
        <w:tc>
          <w:tcPr>
            <w:tcW w:w="225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 </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 </w:t>
            </w:r>
          </w:p>
        </w:tc>
      </w:tr>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305 Hartmann Drive, </w:t>
      </w:r>
      <w:bookmarkStart w:id="9" w:name="xdx_90E_edei--EntityAddressCityOrTown_c2"/>
      <w:bookmarkStart w:id="10" w:name="xdx_90E_edei--EntityAddressCountry_c2026"/>
      <w:bookmarkStart w:id="11" w:name="xdx_907_edei--EntityAddressPostalZipCode"/>
      <w:bookmarkEnd w:id="9"/>
      <w:bookmarkEnd w:id="10"/>
      <w:bookmarkEnd w:id="11"/>
      <w:r>
        <w:rPr>
          <w:rFonts w:ascii="Times New Roman;Times;Serif" w:hAnsi="Times New Roman;Times;Serif"/>
          <w:b/>
          <w:i w:val="false"/>
          <w:caps w:val="false"/>
          <w:smallCaps w:val="false"/>
          <w:sz w:val="20"/>
        </w:rPr>
        <w:t xml:space="preserve">Lebanon, </w:t>
      </w:r>
      <w:bookmarkStart w:id="12" w:name="xdx_909_edei--EntityAddressStateOrProvin"/>
      <w:bookmarkEnd w:id="12"/>
      <w:r>
        <w:rPr>
          <w:rFonts w:ascii="Times New Roman;Times;Serif" w:hAnsi="Times New Roman;Times;Serif"/>
          <w:b/>
          <w:i w:val="false"/>
          <w:caps w:val="false"/>
          <w:smallCaps w:val="false"/>
          <w:sz w:val="20"/>
        </w:rPr>
        <w:t xml:space="preserve">Tennessee </w:t>
      </w:r>
      <w:bookmarkStart w:id="13" w:name="xdx_909_edei--EntityAddressPostalZipCode"/>
      <w:bookmarkEnd w:id="13"/>
      <w:r>
        <w:rPr>
          <w:rFonts w:ascii="Times New Roman;Times;Serif" w:hAnsi="Times New Roman;Times;Serif"/>
          <w:b/>
          <w:i w:val="false"/>
          <w:caps w:val="false"/>
          <w:smallCaps w:val="false"/>
          <w:sz w:val="20"/>
        </w:rPr>
        <w:t>37087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4" w:name="xdx_90A_edei--CityAreaCode_c20260923__20"/>
      <w:bookmarkEnd w:id="14"/>
      <w:r>
        <w:rPr>
          <w:rFonts w:ascii="Times New Roman;Times;Serif" w:hAnsi="Times New Roman;Times;Serif"/>
          <w:b/>
          <w:i w:val="false"/>
          <w:caps w:val="false"/>
          <w:smallCaps w:val="false"/>
          <w:sz w:val="20"/>
        </w:rPr>
        <w:t xml:space="preserve">615) </w:t>
      </w:r>
      <w:bookmarkStart w:id="15" w:name="xdx_907_edei--LocalPhoneNumber_c20260923"/>
      <w:bookmarkEnd w:id="15"/>
      <w:r>
        <w:rPr>
          <w:rFonts w:ascii="Times New Roman;Times;Serif" w:hAnsi="Times New Roman;Times;Serif"/>
          <w:b/>
          <w:i w:val="false"/>
          <w:caps w:val="false"/>
          <w:smallCaps w:val="false"/>
          <w:sz w:val="20"/>
        </w:rPr>
        <w:t>444-5533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1_edei--WrittenCommunications_c202"/>
            <w:bookmarkEnd w:id="16"/>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5_edei--SolicitingMaterial_c202609"/>
            <w:bookmarkEnd w:id="17"/>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7_edei--PreCommencementTenderOffer"/>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1_edei--PreCommencementIssuerTende"/>
            <w:bookmarkEnd w:id="19"/>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55" w:type="dxa"/>
        <w:jc w:val="left"/>
        <w:tblInd w:w="0" w:type="dxa"/>
        <w:tblLayout w:type="fixed"/>
        <w:tblCellMar>
          <w:top w:w="0" w:type="dxa"/>
          <w:left w:w="0" w:type="dxa"/>
          <w:bottom w:w="0" w:type="dxa"/>
          <w:right w:w="0" w:type="dxa"/>
        </w:tblCellMar>
      </w:tblPr>
      <w:tblGrid>
        <w:gridCol w:w="3905"/>
        <w:gridCol w:w="60"/>
        <w:gridCol w:w="1535"/>
        <w:gridCol w:w="60"/>
        <w:gridCol w:w="2795"/>
      </w:tblGrid>
      <w:tr>
        <w:trPr/>
        <w:tc>
          <w:tcPr>
            <w:tcW w:w="3905" w:type="dxa"/>
            <w:tcBorders/>
            <w:vAlign w:val="center"/>
          </w:tcPr>
          <w:p>
            <w:pPr>
              <w:pStyle w:val="TableContents"/>
              <w:bidi w:val="0"/>
              <w:spacing w:before="0" w:after="283"/>
              <w:jc w:val="center"/>
              <w:rPr>
                <w:sz w:val="20"/>
              </w:rPr>
            </w:pPr>
            <w:r>
              <w:rPr>
                <w:sz w:val="20"/>
              </w:rPr>
              <w:t>Title of each class</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sz w:val="20"/>
              </w:rPr>
            </w:pPr>
            <w:r>
              <w:rPr>
                <w:sz w:val="20"/>
              </w:rPr>
              <w:t>Trading Symbol(s)</w:t>
            </w:r>
          </w:p>
        </w:tc>
        <w:tc>
          <w:tcPr>
            <w:tcW w:w="60" w:type="dxa"/>
            <w:tcBorders/>
            <w:vAlign w:val="center"/>
          </w:tcPr>
          <w:p>
            <w:pPr>
              <w:pStyle w:val="TableContents"/>
              <w:bidi w:val="0"/>
              <w:spacing w:before="0" w:after="283"/>
              <w:jc w:val="center"/>
              <w:rPr/>
            </w:pPr>
            <w:r>
              <w:rPr/>
              <w:t> </w:t>
            </w:r>
          </w:p>
        </w:tc>
        <w:tc>
          <w:tcPr>
            <w:tcW w:w="2795" w:type="dxa"/>
            <w:tcBorders/>
            <w:vAlign w:val="center"/>
          </w:tcPr>
          <w:p>
            <w:pPr>
              <w:pStyle w:val="TableContents"/>
              <w:bidi w:val="0"/>
              <w:spacing w:before="0" w:after="283"/>
              <w:jc w:val="center"/>
              <w:rPr>
                <w:sz w:val="20"/>
              </w:rPr>
            </w:pPr>
            <w:r>
              <w:rPr>
                <w:sz w:val="20"/>
              </w:rPr>
              <w:t xml:space="preserve">Name of each exchange on which </w:t>
              <w:br/>
              <w:t>registered</w:t>
            </w:r>
          </w:p>
        </w:tc>
      </w:tr>
      <w:tr>
        <w:trPr/>
        <w:tc>
          <w:tcPr>
            <w:tcW w:w="39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A_edei--Security12bTitle_c20260923"/>
            <w:bookmarkEnd w:id="20"/>
            <w:r>
              <w:rPr>
                <w:rFonts w:ascii="Times New Roman;Times;Serif" w:hAnsi="Times New Roman;Times;Serif"/>
                <w:b w:val="false"/>
                <w:i w:val="false"/>
                <w:caps w:val="false"/>
                <w:smallCaps w:val="false"/>
                <w:sz w:val="20"/>
              </w:rPr>
              <w:t>Common Stock (Par Value $0.01)</w:t>
              <w:br/>
              <w:t>Rights to Purchase Series A Junior Participating</w:t>
              <w:br/>
              <w:t>Preferred Stock (Par Value $0.01)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bookmarkStart w:id="21" w:name="xdx_90C_edei--TradingSymbol_c20260923__2"/>
            <w:bookmarkEnd w:id="21"/>
            <w:r>
              <w:rPr>
                <w:sz w:val="20"/>
              </w:rPr>
              <w:t>CBRL</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sz w:val="20"/>
              </w:rPr>
            </w:pPr>
            <w:bookmarkStart w:id="22" w:name="xdx_90D_edei--SecurityExchangeName_c2026"/>
            <w:bookmarkEnd w:id="22"/>
            <w:r>
              <w:rPr>
                <w:sz w:val="20"/>
              </w:rPr>
              <w:t>The Nasdaq Stock Market LLC</w:t>
              <w:b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0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Cracker Barrel Old Country Store, Inc. (the “Company”) issued a press release (the “Press Release”) announcing the Company’s fiscal 2026 fourth quarter results of operations and projected outlook of certain items for fiscal year 2027. A copy of the Press Release is furnished herewith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8520" w:type="dxa"/>
        <w:jc w:val="left"/>
        <w:tblInd w:w="0" w:type="dxa"/>
        <w:tblLayout w:type="fixed"/>
        <w:tblCellMar>
          <w:top w:w="0" w:type="dxa"/>
          <w:left w:w="0" w:type="dxa"/>
          <w:bottom w:w="0" w:type="dxa"/>
          <w:right w:w="0" w:type="dxa"/>
        </w:tblCellMar>
      </w:tblPr>
      <w:tblGrid>
        <w:gridCol w:w="75"/>
        <w:gridCol w:w="245"/>
        <w:gridCol w:w="980"/>
        <w:gridCol w:w="72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(d)</w:t>
            </w:r>
          </w:p>
        </w:tc>
        <w:tc>
          <w:tcPr>
            <w:tcW w:w="8200" w:type="dxa"/>
            <w:gridSpan w:val="2"/>
            <w:tcBorders/>
            <w:vAlign w:val="center"/>
          </w:tcPr>
          <w:p>
            <w:pPr>
              <w:pStyle w:val="TableContents"/>
              <w:bidi w:val="0"/>
              <w:spacing w:before="0" w:after="283"/>
              <w:jc w:val="left"/>
              <w:rPr>
                <w:sz w:val="20"/>
              </w:rPr>
            </w:pPr>
            <w:r>
              <w:rPr>
                <w:sz w:val="20"/>
              </w:rPr>
              <w:t>Exhibits.</w:t>
            </w:r>
          </w:p>
        </w:tc>
      </w:tr>
      <w:tr>
        <w:trPr/>
        <w:tc>
          <w:tcPr>
            <w:tcW w:w="320" w:type="dxa"/>
            <w:gridSpan w:val="2"/>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b/>
                <w:sz w:val="20"/>
              </w:rPr>
            </w:pPr>
            <w:r>
              <w:rPr>
                <w:b/>
                <w:sz w:val="20"/>
              </w:rPr>
              <w:t>Exhibit No.</w:t>
            </w:r>
          </w:p>
        </w:tc>
        <w:tc>
          <w:tcPr>
            <w:tcW w:w="7220" w:type="dxa"/>
            <w:tcBorders/>
            <w:vAlign w:val="center"/>
          </w:tcPr>
          <w:p>
            <w:pPr>
              <w:pStyle w:val="TableContents"/>
              <w:bidi w:val="0"/>
              <w:spacing w:before="0" w:after="283"/>
              <w:jc w:val="left"/>
              <w:rPr>
                <w:b/>
                <w:sz w:val="20"/>
              </w:rPr>
            </w:pPr>
            <w:r>
              <w:rPr>
                <w:b/>
                <w:sz w:val="20"/>
              </w:rPr>
              <w:t>Description</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82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hyperlink w:anchor="tm2625926d1_ex99-1.htm">
              <w:r>
                <w:rPr>
                  <w:rStyle w:val="InternetLink"/>
                  <w:sz w:val="20"/>
                </w:rPr>
                <w:t>99.1</w:t>
              </w:r>
            </w:hyperlink>
          </w:p>
        </w:tc>
        <w:tc>
          <w:tcPr>
            <w:tcW w:w="7220" w:type="dxa"/>
            <w:tcBorders/>
            <w:vAlign w:val="center"/>
          </w:tcPr>
          <w:p>
            <w:pPr>
              <w:pStyle w:val="TableContents"/>
              <w:bidi w:val="0"/>
              <w:spacing w:before="0" w:after="283"/>
              <w:jc w:val="left"/>
              <w:rPr/>
            </w:pPr>
            <w:hyperlink w:anchor="tm2625926d1_ex99-1.htm">
              <w:r>
                <w:rPr>
                  <w:rStyle w:val="InternetLink"/>
                  <w:sz w:val="20"/>
                </w:rPr>
                <w:t>Press Release issued by Cracker Barrel Old Country Store, Inc. dated September 23, 2026</w:t>
              </w:r>
            </w:hyperlink>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20"/>
              </w:rPr>
            </w:pPr>
            <w:r>
              <w:rPr>
                <w:sz w:val="20"/>
              </w:rPr>
              <w:t>104</w:t>
            </w:r>
          </w:p>
        </w:tc>
        <w:tc>
          <w:tcPr>
            <w:tcW w:w="722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7890" w:type="dxa"/>
        <w:jc w:val="left"/>
        <w:tblInd w:w="0" w:type="dxa"/>
        <w:tblLayout w:type="fixed"/>
        <w:tblCellMar>
          <w:top w:w="0" w:type="dxa"/>
          <w:left w:w="0" w:type="dxa"/>
          <w:bottom w:w="0" w:type="dxa"/>
          <w:right w:w="0" w:type="dxa"/>
        </w:tblCellMar>
      </w:tblPr>
      <w:tblGrid>
        <w:gridCol w:w="2135"/>
        <w:gridCol w:w="545"/>
        <w:gridCol w:w="5210"/>
      </w:tblGrid>
      <w:tr>
        <w:trPr/>
        <w:tc>
          <w:tcPr>
            <w:tcW w:w="21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23, 2026</w:t>
            </w:r>
          </w:p>
          <w:p>
            <w:pPr>
              <w:pStyle w:val="TableContents"/>
              <w:bidi w:val="0"/>
              <w:spacing w:before="0" w:after="0"/>
              <w:ind w:left="0" w:right="0" w:hanging="0"/>
              <w:jc w:val="both"/>
              <w:rPr>
                <w:caps w:val="false"/>
                <w:smallCaps w:val="false"/>
              </w:rPr>
            </w:pPr>
            <w:r>
              <w:rPr>
                <w:caps w:val="false"/>
                <w:smallCaps w:val="false"/>
              </w:rPr>
              <w:t> </w:t>
            </w:r>
          </w:p>
        </w:tc>
        <w:tc>
          <w:tcPr>
            <w:tcW w:w="5755" w:type="dxa"/>
            <w:gridSpan w:val="2"/>
            <w:tcBorders/>
            <w:vAlign w:val="center"/>
          </w:tcPr>
          <w:p>
            <w:pPr>
              <w:pStyle w:val="TableContents"/>
              <w:bidi w:val="0"/>
              <w:spacing w:before="0" w:after="283"/>
              <w:jc w:val="both"/>
              <w:rPr>
                <w:sz w:val="20"/>
              </w:rPr>
            </w:pPr>
            <w:r>
              <w:rPr>
                <w:sz w:val="20"/>
              </w:rPr>
              <w:t>CRACKER BARREL OLD COUNTRY STORE, INC.</w:t>
            </w:r>
          </w:p>
        </w:tc>
      </w:tr>
      <w:tr>
        <w:trPr/>
        <w:tc>
          <w:tcPr>
            <w:tcW w:w="2135" w:type="dxa"/>
            <w:tcBorders/>
            <w:vAlign w:val="center"/>
          </w:tcPr>
          <w:p>
            <w:pPr>
              <w:pStyle w:val="TableContents"/>
              <w:bidi w:val="0"/>
              <w:spacing w:before="0" w:after="283"/>
              <w:jc w:val="both"/>
              <w:rPr/>
            </w:pPr>
            <w:r>
              <w:rPr/>
              <w:t> </w:t>
            </w:r>
          </w:p>
        </w:tc>
        <w:tc>
          <w:tcPr>
            <w:tcW w:w="5755" w:type="dxa"/>
            <w:gridSpan w:val="2"/>
            <w:tcBorders/>
            <w:vAlign w:val="center"/>
          </w:tcPr>
          <w:p>
            <w:pPr>
              <w:pStyle w:val="TableContents"/>
              <w:bidi w:val="0"/>
              <w:spacing w:before="0" w:after="283"/>
              <w:jc w:val="both"/>
              <w:rPr/>
            </w:pPr>
            <w:r>
              <w:rPr/>
              <w:t> </w:t>
            </w:r>
          </w:p>
        </w:tc>
      </w:tr>
      <w:tr>
        <w:trPr/>
        <w:tc>
          <w:tcPr>
            <w:tcW w:w="2135" w:type="dxa"/>
            <w:tcBorders/>
            <w:vAlign w:val="center"/>
          </w:tcPr>
          <w:p>
            <w:pPr>
              <w:pStyle w:val="TableContents"/>
              <w:bidi w:val="0"/>
              <w:spacing w:before="0" w:after="283"/>
              <w:jc w:val="both"/>
              <w:rPr/>
            </w:pPr>
            <w:r>
              <w:rPr/>
              <w:t> </w:t>
            </w:r>
          </w:p>
        </w:tc>
        <w:tc>
          <w:tcPr>
            <w:tcW w:w="5755" w:type="dxa"/>
            <w:gridSpan w:val="2"/>
            <w:tcBorders/>
            <w:vAlign w:val="center"/>
          </w:tcPr>
          <w:p>
            <w:pPr>
              <w:pStyle w:val="TableContents"/>
              <w:bidi w:val="0"/>
              <w:spacing w:before="0" w:after="283"/>
              <w:jc w:val="both"/>
              <w:rPr/>
            </w:pPr>
            <w:r>
              <w:rPr/>
              <w:t> </w:t>
            </w:r>
          </w:p>
        </w:tc>
      </w:tr>
      <w:tr>
        <w:trPr/>
        <w:tc>
          <w:tcPr>
            <w:tcW w:w="213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By:</w:t>
            </w:r>
          </w:p>
        </w:tc>
        <w:tc>
          <w:tcPr>
            <w:tcW w:w="5210" w:type="dxa"/>
            <w:tcBorders>
              <w:bottom w:val="single" w:sz="8" w:space="0" w:color="000000"/>
            </w:tcBorders>
            <w:tcMar>
              <w:bottom w:w="28" w:type="dxa"/>
            </w:tcMar>
            <w:vAlign w:val="center"/>
          </w:tcPr>
          <w:p>
            <w:pPr>
              <w:pStyle w:val="TableContents"/>
              <w:bidi w:val="0"/>
              <w:spacing w:before="0" w:after="283"/>
              <w:jc w:val="both"/>
              <w:rPr>
                <w:sz w:val="20"/>
              </w:rPr>
            </w:pPr>
            <w:r>
              <w:rPr>
                <w:sz w:val="20"/>
              </w:rPr>
              <w:t>/s/ Jennifer Lankford</w:t>
            </w:r>
          </w:p>
        </w:tc>
      </w:tr>
      <w:tr>
        <w:trPr/>
        <w:tc>
          <w:tcPr>
            <w:tcW w:w="213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ind w:left="0" w:right="0" w:hanging="246"/>
              <w:jc w:val="both"/>
              <w:rPr>
                <w:sz w:val="20"/>
              </w:rPr>
            </w:pPr>
            <w:r>
              <w:rPr>
                <w:sz w:val="20"/>
              </w:rPr>
              <w:t>Name:</w:t>
            </w:r>
          </w:p>
        </w:tc>
        <w:tc>
          <w:tcPr>
            <w:tcW w:w="5210" w:type="dxa"/>
            <w:tcBorders/>
            <w:vAlign w:val="center"/>
          </w:tcPr>
          <w:p>
            <w:pPr>
              <w:pStyle w:val="TableContents"/>
              <w:bidi w:val="0"/>
              <w:spacing w:before="0" w:after="283"/>
              <w:jc w:val="left"/>
              <w:rPr>
                <w:sz w:val="20"/>
              </w:rPr>
            </w:pPr>
            <w:r>
              <w:rPr>
                <w:sz w:val="20"/>
              </w:rPr>
              <w:t>Jennifer Lankford</w:t>
            </w:r>
          </w:p>
        </w:tc>
      </w:tr>
      <w:tr>
        <w:trPr/>
        <w:tc>
          <w:tcPr>
            <w:tcW w:w="213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5210" w:type="dxa"/>
            <w:tcBorders/>
            <w:vAlign w:val="center"/>
          </w:tcPr>
          <w:p>
            <w:pPr>
              <w:pStyle w:val="TableContents"/>
              <w:bidi w:val="0"/>
              <w:spacing w:before="0" w:after="283"/>
              <w:jc w:val="left"/>
              <w:rPr>
                <w:sz w:val="20"/>
              </w:rPr>
            </w:pPr>
            <w:r>
              <w:rPr>
                <w:sz w:val="20"/>
              </w:rPr>
              <w:t>Senior Vice President,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tm2625926d1_ex99-1.htm"/>
      <w:bookmarkStart w:id="25" w:name="kstm2625926d1_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209800"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9800" cy="10668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505"/>
        <w:gridCol w:w="1310"/>
      </w:tblGrid>
      <w:tr>
        <w:trPr/>
        <w:tc>
          <w:tcPr>
            <w:tcW w:w="15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Investor Contact:</w:t>
            </w:r>
          </w:p>
        </w:tc>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Adam Hanan </w:t>
            </w:r>
          </w:p>
        </w:tc>
      </w:tr>
      <w:tr>
        <w:trPr/>
        <w:tc>
          <w:tcPr>
            <w:tcW w:w="150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(615) 443-9887</w:t>
            </w:r>
          </w:p>
        </w:tc>
      </w:tr>
      <w:tr>
        <w:trPr/>
        <w:tc>
          <w:tcPr>
            <w:tcW w:w="150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Media Contact:</w:t>
            </w:r>
          </w:p>
        </w:tc>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Heidi Pearce</w:t>
            </w:r>
          </w:p>
        </w:tc>
      </w:tr>
      <w:tr>
        <w:trPr/>
        <w:tc>
          <w:tcPr>
            <w:tcW w:w="150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(615) 235-4135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CRACKER BARREL REPORTS FOURTH QUARTER AND FULL YEAR FISCAL 2026 RESULTS AND PROVIDES FISCAL 2027 OUTLOOK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Underscores Continued Improvement in Key Operating &amp; Financial Metrics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4" w:right="54"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LEBANON, Tenn.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September 23, 2026</w:t>
      </w:r>
      <w:r>
        <w:rPr>
          <w:rFonts w:ascii="Times New Roman;Times;Serif" w:hAnsi="Times New Roman;Times;Serif"/>
          <w:b w:val="false"/>
          <w:i w:val="false"/>
          <w:caps w:val="false"/>
          <w:smallCaps w:val="false"/>
          <w:sz w:val="20"/>
        </w:rPr>
        <w:t xml:space="preserve"> – Cracker Barrel Old Country Store, Inc. (“Cracker Barrel” or the “Company”) (Nasdaq: CBRL) today reported its financial results for the fourth quarter of fiscal 2026 ended July 31, 2026.</w:t>
      </w:r>
    </w:p>
    <w:p>
      <w:pPr>
        <w:pStyle w:val="TextBody"/>
        <w:bidi w:val="0"/>
        <w:spacing w:before="0" w:after="0"/>
        <w:ind w:left="54" w:right="54"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Cracker Barrel President and Chief Executive Officer David Deno said, “I’m honored to lead such a differentiated and iconic brand. The Company is focused on the right areas and has a strong plan, as demonstrated by the continued improvements in the underlying traffic trend, key guest metrics, and EBITDA results. I am excited about the opportunity ahead and confident that our strategic priorities around food, experience, and people will sustain this momentum and drive long-term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Fourth Quarter Fiscal 2026 Highlights</w:t>
      </w:r>
    </w:p>
    <w:p>
      <w:pPr>
        <w:pStyle w:val="TextBody"/>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results presented below reflect consolidated operations, including Maple Street Biscuit Company’s (“MSBC”) results up to the divestiture of MSBC that occurred on July 20,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5"/>
        <w:gridCol w:w="10051"/>
      </w:tblGrid>
      <w:tr>
        <w:trPr/>
        <w:tc>
          <w:tcPr>
            <w:tcW w:w="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1" w:type="dxa"/>
            <w:tcBorders/>
            <w:vAlign w:val="center"/>
          </w:tcPr>
          <w:p>
            <w:pPr>
              <w:pStyle w:val="TableContents"/>
              <w:bidi w:val="0"/>
              <w:spacing w:before="0" w:after="283"/>
              <w:jc w:val="both"/>
              <w:rPr/>
            </w:pPr>
            <w:r>
              <w:rPr/>
              <w:t xml:space="preserve">Total revenue was $849.3 million. Compared to the </w:t>
            </w:r>
            <w:r>
              <w:rPr>
                <w:rFonts w:ascii="Times New Roman;Times;Serif" w:hAnsi="Times New Roman;Times;Serif"/>
              </w:rPr>
              <w:t xml:space="preserve">prior year quarter, total revenue decreased 2.2%.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3" w:type="dxa"/>
            <w:tcBorders/>
            <w:vAlign w:val="center"/>
          </w:tcPr>
          <w:p>
            <w:pPr>
              <w:pStyle w:val="TableContents"/>
              <w:bidi w:val="0"/>
              <w:spacing w:before="0" w:after="283"/>
              <w:jc w:val="both"/>
              <w:rPr/>
            </w:pPr>
            <w:r>
              <w:rPr/>
              <w:t>Compared to the prior year quarter, comparable store restaurant sales decreased 2.1%, and comparable store retail sales increased 0.7%.</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As previously disclosed, during the fourth quarter, the Company completed a sale-leaseback transaction, divested MSBC, and announced that David Deno was appointed to serve as Chief Executive Officer, effective August 10, 2026.</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 xml:space="preserve">GAAP earnings </w:t>
            </w:r>
            <w:r>
              <w:rPr>
                <w:rFonts w:ascii="Times New Roman;Times;Serif" w:hAnsi="Times New Roman;Times;Serif"/>
              </w:rPr>
              <w:t>per diluted share were $0.54, and adjusted</w:t>
            </w:r>
            <w:r>
              <w:rPr>
                <w:rFonts w:ascii="Times New Roman;Times;Serif" w:hAnsi="Times New Roman;Times;Serif"/>
                <w:position w:val="8"/>
                <w:sz w:val="19"/>
              </w:rPr>
              <w:t>1</w:t>
            </w:r>
            <w:r>
              <w:rPr>
                <w:rFonts w:ascii="Times New Roman;Times;Serif" w:hAnsi="Times New Roman;Times;Serif"/>
              </w:rPr>
              <w:t xml:space="preserve"> earnings per diluted share were $0.99. (See non-GAAP reconciliation table below.)</w:t>
            </w:r>
          </w:p>
        </w:tc>
      </w:tr>
    </w:tbl>
    <w:tbl>
      <w:tblPr>
        <w:tblW w:w="5000" w:type="pct"/>
        <w:jc w:val="left"/>
        <w:tblInd w:w="0" w:type="dxa"/>
        <w:tblLayout w:type="fixed"/>
        <w:tblCellMar>
          <w:top w:w="0" w:type="dxa"/>
          <w:left w:w="0" w:type="dxa"/>
          <w:bottom w:w="0" w:type="dxa"/>
          <w:right w:w="0" w:type="dxa"/>
        </w:tblCellMar>
      </w:tblPr>
      <w:tblGrid>
        <w:gridCol w:w="38"/>
        <w:gridCol w:w="112"/>
        <w:gridCol w:w="10055"/>
      </w:tblGrid>
      <w:tr>
        <w:trPr/>
        <w:tc>
          <w:tcPr>
            <w:tcW w:w="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GAAP net income was $12.2 million compared to prior year quarter GAAP net income of $6.8 million. </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w:t>
            </w:r>
            <w:r>
              <w:rPr>
                <w:rFonts w:ascii="Times New Roman;Times;Serif" w:hAnsi="Times New Roman;Times;Serif"/>
                <w:position w:val="8"/>
                <w:sz w:val="19"/>
              </w:rPr>
              <w:t>1</w:t>
            </w:r>
            <w:r>
              <w:rPr>
                <w:rFonts w:ascii="Times New Roman;Times;Serif" w:hAnsi="Times New Roman;Times;Serif"/>
              </w:rPr>
              <w:t xml:space="preserve"> was $62.1 million and includes a benefit of approximately $9.1 million related to tariff refunds, net of investments, compared to prior year quarter adjusted EBITDA</w:t>
            </w:r>
            <w:r>
              <w:rPr>
                <w:rFonts w:ascii="Times New Roman;Times;Serif" w:hAnsi="Times New Roman;Times;Serif"/>
                <w:position w:val="8"/>
                <w:sz w:val="19"/>
              </w:rPr>
              <w:t>1</w:t>
            </w:r>
            <w:r>
              <w:rPr>
                <w:rFonts w:ascii="Times New Roman;Times;Serif" w:hAnsi="Times New Roman;Times;Serif"/>
              </w:rPr>
              <w:t xml:space="preserve"> of $55.7 million. (See non-GAAP reconciliation table below.)</w:t>
            </w:r>
          </w:p>
        </w:tc>
      </w:tr>
    </w:tbl>
    <w:p>
      <w:pPr>
        <w:pStyle w:val="TextBody"/>
        <w:bidi w:val="0"/>
        <w:spacing w:before="0" w:after="0"/>
        <w:ind w:left="180" w:right="58" w:hanging="0"/>
        <w:jc w:val="both"/>
        <w:rPr>
          <w:caps w:val="false"/>
          <w:smallCaps w:val="false"/>
        </w:rPr>
      </w:pPr>
      <w:r>
        <w:rPr>
          <w:caps w:val="false"/>
          <w:smallCaps w:val="false"/>
        </w:rPr>
        <w:t> </w:t>
      </w:r>
    </w:p>
    <w:p>
      <w:pPr>
        <w:pStyle w:val="TextBody"/>
        <w:bidi w:val="0"/>
        <w:spacing w:before="0" w:after="0"/>
        <w:ind w:left="180" w:right="58" w:hanging="0"/>
        <w:jc w:val="both"/>
        <w:rPr>
          <w:caps w:val="false"/>
          <w:smallCaps w:val="false"/>
        </w:rPr>
      </w:pPr>
      <w:r>
        <w:rPr>
          <w:caps w:val="false"/>
          <w:smallCaps w:val="false"/>
        </w:rPr>
        <w:t> </w:t>
      </w:r>
    </w:p>
    <w:p>
      <w:pPr>
        <w:pStyle w:val="TextBody"/>
        <w:bidi w:val="0"/>
        <w:spacing w:before="0" w:after="0"/>
        <w:ind w:left="180" w:right="58" w:hanging="0"/>
        <w:jc w:val="both"/>
        <w:rPr>
          <w:caps w:val="false"/>
          <w:smallCaps w:val="false"/>
        </w:rPr>
      </w:pPr>
      <w:r>
        <w:rPr>
          <w:caps w:val="false"/>
          <w:smallCaps w:val="false"/>
        </w:rPr>
        <w:t> </w:t>
      </w:r>
    </w:p>
    <w:p>
      <w:pPr>
        <w:pStyle w:val="TextBody"/>
        <w:bidi w:val="0"/>
        <w:spacing w:before="0" w:after="0"/>
        <w:ind w:left="180" w:right="58"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MORE -</w:t>
      </w:r>
    </w:p>
    <w:p>
      <w:pPr>
        <w:pStyle w:val="TextBody"/>
        <w:bidi w:val="0"/>
        <w:spacing w:before="0" w:after="0"/>
        <w:ind w:left="0" w:right="0" w:hanging="0"/>
        <w:jc w:val="left"/>
        <w:rPr>
          <w:sz w:val="20"/>
        </w:rPr>
      </w:pPr>
      <w:r>
        <w:rPr>
          <w:sz w:val="20"/>
        </w:rPr>
        <w:t>Page 2</w:t>
      </w:r>
    </w:p>
    <w:p>
      <w:pPr>
        <w:pStyle w:val="TextBody"/>
        <w:bidi w:val="0"/>
        <w:spacing w:before="0" w:after="0"/>
        <w:ind w:left="180" w:right="58" w:hanging="0"/>
        <w:jc w:val="both"/>
        <w:rPr>
          <w:caps w:val="false"/>
          <w:smallCaps w:val="false"/>
        </w:rPr>
      </w:pPr>
      <w:r>
        <w:rPr>
          <w:caps w:val="false"/>
          <w:smallCaps w:val="false"/>
        </w:rPr>
        <w:t> </w:t>
      </w:r>
    </w:p>
    <w:tbl>
      <w:tblPr>
        <w:tblW w:w="7557" w:type="dxa"/>
        <w:jc w:val="left"/>
        <w:tblInd w:w="0" w:type="dxa"/>
        <w:tblLayout w:type="fixed"/>
        <w:tblCellMar>
          <w:top w:w="0" w:type="dxa"/>
          <w:left w:w="0" w:type="dxa"/>
          <w:bottom w:w="0" w:type="dxa"/>
          <w:right w:w="0" w:type="dxa"/>
        </w:tblCellMar>
      </w:tblPr>
      <w:tblGrid>
        <w:gridCol w:w="3320"/>
        <w:gridCol w:w="60"/>
        <w:gridCol w:w="136"/>
        <w:gridCol w:w="760"/>
        <w:gridCol w:w="65"/>
        <w:gridCol w:w="65"/>
        <w:gridCol w:w="136"/>
        <w:gridCol w:w="760"/>
        <w:gridCol w:w="60"/>
        <w:gridCol w:w="60"/>
        <w:gridCol w:w="125"/>
        <w:gridCol w:w="845"/>
        <w:gridCol w:w="60"/>
        <w:gridCol w:w="60"/>
        <w:gridCol w:w="125"/>
        <w:gridCol w:w="845"/>
        <w:gridCol w:w="75"/>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amounts)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7/31/26</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849,342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868,009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3,318,714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3,483,684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22,359</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62,054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147,714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224,264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earnings per share –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earnings per share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58" w:right="58"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Balance Sheet &amp; Capital Allocation</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The Company ended fiscal 2026 with total debt of $337.2 million, comprised of its 1.75% Convertible Senior Notes due 2030, with no outstanding borrowings on its credit facility, compared to total debt of $484.6 million at the end of fiscal 2025.</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The Company ended the fourth quarter with a consolidated total leverage ratio</w:t>
            </w:r>
            <w:r>
              <w:rPr>
                <w:position w:val="8"/>
                <w:sz w:val="19"/>
              </w:rPr>
              <w:t>3</w:t>
            </w:r>
            <w:r>
              <w:rPr/>
              <w:t xml:space="preserve"> of 1.7x and a consolidated senior leverage ratio</w:t>
            </w:r>
            <w:r>
              <w:rPr>
                <w:position w:val="8"/>
                <w:sz w:val="19"/>
              </w:rPr>
              <w:t xml:space="preserve">3 </w:t>
            </w:r>
            <w:r>
              <w:rPr/>
              <w:t>of 0.0x. At the end of the fourth quarter, the Company had approximately $541.3 million in available capacity</w:t>
            </w:r>
            <w:r>
              <w:rPr>
                <w:position w:val="8"/>
                <w:sz w:val="19"/>
              </w:rPr>
              <w:t>3</w:t>
            </w:r>
            <w:r>
              <w:rPr/>
              <w:t xml:space="preserve"> under its credit facility.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During the fourth quarter, the Company repaid $150 million of short-term debt related to its 0.625% Convertible Senior Notes when they matured in June 2026.</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During the fourth quarter, the Company completed a sale-leaseback transaction for 26 Company-owned Cracker Barrel store locations, generating net proceeds of approximately $77 million that were deployed towards debt reduction. The tax-efficient transaction enabled the Company to utilize capital loss carryforwards that otherwise would have expired.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The Company announced that its Board of Directors declared a quarterly dividend of $0.25 per share of the Company’s common stock. The quarterly dividend is payable on November 12, 2026 to shareholders of record as of October 16, 2026.</w:t>
            </w:r>
          </w:p>
        </w:tc>
      </w:tr>
    </w:tbl>
    <w:p>
      <w:pPr>
        <w:pStyle w:val="TextBody"/>
        <w:bidi w:val="0"/>
        <w:spacing w:before="0" w:after="0"/>
        <w:ind w:left="720" w:right="58" w:hanging="0"/>
        <w:jc w:val="both"/>
        <w:rPr>
          <w:caps w:val="false"/>
          <w:smallCaps w:val="false"/>
        </w:rPr>
      </w:pPr>
      <w:r>
        <w:rPr>
          <w:caps w:val="false"/>
          <w:smallCaps w:val="false"/>
        </w:rPr>
        <w:t> </w:t>
      </w:r>
    </w:p>
    <w:p>
      <w:pPr>
        <w:pStyle w:val="TextBody"/>
        <w:bidi w:val="0"/>
        <w:spacing w:before="0" w:after="0"/>
        <w:ind w:left="58" w:right="58"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Fiscal 2027 Outlook</w:t>
      </w:r>
    </w:p>
    <w:p>
      <w:pPr>
        <w:pStyle w:val="TextBody"/>
        <w:bidi w:val="0"/>
        <w:spacing w:before="0" w:after="0"/>
        <w:ind w:left="58" w:right="58"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the following outlook for fiscal 2027:</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Total revenue of $3.325 billion to $3.4 billion including comparable store restaurant sales growth of 3% to 5% and no new store openings</w:t>
            </w:r>
          </w:p>
        </w:tc>
      </w:tr>
    </w:tbl>
    <w:tbl>
      <w:tblPr>
        <w:tblW w:w="5000" w:type="pct"/>
        <w:jc w:val="left"/>
        <w:tblInd w:w="0" w:type="dxa"/>
        <w:tblLayout w:type="fixed"/>
        <w:tblCellMar>
          <w:top w:w="0" w:type="dxa"/>
          <w:left w:w="0" w:type="dxa"/>
          <w:bottom w:w="0" w:type="dxa"/>
          <w:right w:w="0" w:type="dxa"/>
        </w:tblCellMar>
      </w:tblPr>
      <w:tblGrid>
        <w:gridCol w:w="74"/>
        <w:gridCol w:w="215"/>
        <w:gridCol w:w="9916"/>
      </w:tblGrid>
      <w:tr>
        <w:trPr/>
        <w:tc>
          <w:tcPr>
            <w:tcW w:w="7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16" w:type="dxa"/>
            <w:tcBorders/>
            <w:vAlign w:val="center"/>
          </w:tcPr>
          <w:p>
            <w:pPr>
              <w:pStyle w:val="TableContents"/>
              <w:bidi w:val="0"/>
              <w:spacing w:before="0" w:after="283"/>
              <w:jc w:val="both"/>
              <w:rPr/>
            </w:pPr>
            <w:r>
              <w:rPr/>
              <w:t>Adjusted EBITDA</w:t>
            </w:r>
            <w:r>
              <w:rPr>
                <w:position w:val="8"/>
                <w:sz w:val="19"/>
              </w:rPr>
              <w:t>1</w:t>
            </w:r>
            <w:r>
              <w:rPr/>
              <w:t xml:space="preserve"> of $180 million to $200 million</w:t>
            </w:r>
            <w:r>
              <w:rPr>
                <w:position w:val="8"/>
                <w:sz w:val="19"/>
              </w:rPr>
              <w:t>2</w:t>
            </w:r>
          </w:p>
        </w:tc>
      </w:tr>
    </w:tbl>
    <w:tbl>
      <w:tblPr>
        <w:tblW w:w="5000" w:type="pct"/>
        <w:jc w:val="left"/>
        <w:tblInd w:w="0" w:type="dxa"/>
        <w:tblLayout w:type="fixed"/>
        <w:tblCellMar>
          <w:top w:w="0" w:type="dxa"/>
          <w:left w:w="0" w:type="dxa"/>
          <w:bottom w:w="0" w:type="dxa"/>
          <w:right w:w="0" w:type="dxa"/>
        </w:tblCellMar>
      </w:tblPr>
      <w:tblGrid>
        <w:gridCol w:w="88"/>
        <w:gridCol w:w="257"/>
        <w:gridCol w:w="9860"/>
      </w:tblGrid>
      <w:tr>
        <w:trPr/>
        <w:tc>
          <w:tcPr>
            <w:tcW w:w="8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60" w:type="dxa"/>
            <w:tcBorders/>
            <w:vAlign w:val="center"/>
          </w:tcPr>
          <w:p>
            <w:pPr>
              <w:pStyle w:val="TableContents"/>
              <w:bidi w:val="0"/>
              <w:spacing w:before="0" w:after="283"/>
              <w:jc w:val="both"/>
              <w:rPr/>
            </w:pPr>
            <w:r>
              <w:rPr/>
              <w:t>Commodity inflation of approximately 3.0%</w:t>
            </w:r>
          </w:p>
        </w:tc>
      </w:tr>
    </w:tbl>
    <w:tbl>
      <w:tblPr>
        <w:tblW w:w="5000" w:type="pct"/>
        <w:jc w:val="left"/>
        <w:tblInd w:w="0" w:type="dxa"/>
        <w:tblLayout w:type="fixed"/>
        <w:tblCellMar>
          <w:top w:w="0" w:type="dxa"/>
          <w:left w:w="0" w:type="dxa"/>
          <w:bottom w:w="0" w:type="dxa"/>
          <w:right w:w="0" w:type="dxa"/>
        </w:tblCellMar>
      </w:tblPr>
      <w:tblGrid>
        <w:gridCol w:w="99"/>
        <w:gridCol w:w="290"/>
        <w:gridCol w:w="9816"/>
      </w:tblGrid>
      <w:tr>
        <w:trPr/>
        <w:tc>
          <w:tcPr>
            <w:tcW w:w="9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16" w:type="dxa"/>
            <w:tcBorders/>
            <w:vAlign w:val="center"/>
          </w:tcPr>
          <w:p>
            <w:pPr>
              <w:pStyle w:val="TableContents"/>
              <w:bidi w:val="0"/>
              <w:spacing w:before="0" w:after="283"/>
              <w:jc w:val="both"/>
              <w:rPr/>
            </w:pPr>
            <w:r>
              <w:rPr/>
              <w:t>Hourly wage inflation of 2.5% to 3.0%</w:t>
            </w:r>
          </w:p>
        </w:tc>
      </w:tr>
    </w:tbl>
    <w:tbl>
      <w:tblPr>
        <w:tblW w:w="5000" w:type="pct"/>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11" w:type="dxa"/>
            <w:tcBorders/>
            <w:vAlign w:val="center"/>
          </w:tcPr>
          <w:p>
            <w:pPr>
              <w:pStyle w:val="TableContents"/>
              <w:bidi w:val="0"/>
              <w:spacing w:before="0" w:after="283"/>
              <w:jc w:val="both"/>
              <w:rPr/>
            </w:pPr>
            <w:r>
              <w:rPr/>
              <w:t>Capital expenditures of $110 million to $125 million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54" w:right="54"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position w:val="7"/>
          <w:sz w:val="16"/>
          <w:sz w:val="20"/>
        </w:rPr>
        <w:t>1</w:t>
      </w:r>
      <w:r>
        <w:rPr>
          <w:rFonts w:ascii="Times New Roman;Times;Serif" w:hAnsi="Times New Roman;Times;Serif"/>
          <w:b/>
          <w:i/>
          <w:caps w:val="false"/>
          <w:smallCaps w:val="false"/>
          <w:sz w:val="20"/>
        </w:rPr>
        <w:t xml:space="preserve"> EBITDA, adjusted net income, adjusted EBITDA, and adjusted earnings per diluted share are non-GAAP financial measures. For definitions of these non-GAAP measures and reconciliations of these non-GAAP measures to the most directly comparable GAAP measures, please refer to the Reconciliation of GAAP-Basis Operating Results to Non-GAAP Operating Results section of this release. For purposes of calculating debt covenant leverage ratios presented in this release, adjusted EBITDA is calculated as defined under our revolving credit facility. </w:t>
      </w:r>
    </w:p>
    <w:p>
      <w:pPr>
        <w:pStyle w:val="TextBody"/>
        <w:bidi w:val="0"/>
        <w:spacing w:before="0" w:after="0"/>
        <w:ind w:left="54" w:right="54" w:hanging="0"/>
        <w:jc w:val="both"/>
        <w:rPr>
          <w:caps w:val="false"/>
          <w:smallCaps w:val="false"/>
          <w:position w:val="8"/>
          <w:sz w:val="19"/>
        </w:rPr>
      </w:pPr>
      <w:r>
        <w:rPr>
          <w:caps w:val="false"/>
          <w:smallCaps w:val="false"/>
          <w:position w:val="8"/>
          <w:sz w:val="19"/>
        </w:rPr>
        <w:t> </w:t>
      </w:r>
    </w:p>
    <w:p>
      <w:pPr>
        <w:pStyle w:val="TextBody"/>
        <w:bidi w:val="0"/>
        <w:spacing w:before="0" w:after="0"/>
        <w:ind w:left="54" w:right="54"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position w:val="7"/>
          <w:sz w:val="16"/>
          <w:sz w:val="20"/>
        </w:rPr>
        <w:t xml:space="preserve">2 </w:t>
      </w:r>
      <w:r>
        <w:rPr>
          <w:rFonts w:ascii="Times New Roman;Times;Serif" w:hAnsi="Times New Roman;Times;Serif"/>
          <w:b/>
          <w:i/>
          <w:caps w:val="false"/>
          <w:smallCaps w:val="false"/>
          <w:sz w:val="20"/>
        </w:rPr>
        <w:t>The Company has determined to provide guidance focused on adjusted EBITDA</w:t>
      </w:r>
      <w:r>
        <w:rPr>
          <w:rFonts w:ascii="Times New Roman;Times;Serif" w:hAnsi="Times New Roman;Times;Serif"/>
          <w:b/>
          <w:i/>
          <w:caps w:val="false"/>
          <w:smallCaps w:val="false"/>
          <w:position w:val="7"/>
          <w:sz w:val="16"/>
          <w:sz w:val="20"/>
        </w:rPr>
        <w:t xml:space="preserve">1 </w:t>
      </w:r>
      <w:r>
        <w:rPr>
          <w:rFonts w:ascii="Times New Roman;Times;Serif" w:hAnsi="Times New Roman;Times;Serif"/>
          <w:b/>
          <w:i/>
          <w:caps w:val="false"/>
          <w:smallCaps w:val="false"/>
          <w:sz w:val="20"/>
        </w:rPr>
        <w:t>because the Company believes it will be more useful to investors to evaluate the Company’s performance prior to the impact of depreciation, taxes, impairment charges, and other items that management believes are not reflective of the Company’s current operations. The Company is not able to reconcile the forward-looking estimate of adjusted EBITDA</w:t>
      </w:r>
      <w:r>
        <w:rPr>
          <w:rFonts w:ascii="Times New Roman;Times;Serif" w:hAnsi="Times New Roman;Times;Serif"/>
          <w:b/>
          <w:i/>
          <w:caps w:val="false"/>
          <w:smallCaps w:val="false"/>
          <w:position w:val="7"/>
          <w:sz w:val="16"/>
          <w:sz w:val="20"/>
        </w:rPr>
        <w:t>1</w:t>
      </w:r>
      <w:r>
        <w:rPr>
          <w:rFonts w:ascii="Times New Roman;Times;Serif" w:hAnsi="Times New Roman;Times;Serif"/>
          <w:b/>
          <w:i/>
          <w:caps w:val="false"/>
          <w:smallCaps w:val="false"/>
          <w:sz w:val="20"/>
        </w:rPr>
        <w:t xml:space="preserve"> set forth above to a forward-looking estimate of net income, the most directly comparable estimated measure calculated in accordance with GAAP, without unreasonable efforts because the Company is unable to predict, forecast or determine the probable significance of certain items impacting these estimates, including interest expense, taxes, impairment charges and share-based compensation, with a reasonable degree of accuracy. Accordingly, the most directly comparable forward-looking GAAP estimate is not provided.</w:t>
      </w:r>
    </w:p>
    <w:p>
      <w:pPr>
        <w:pStyle w:val="TextBody"/>
        <w:bidi w:val="0"/>
        <w:spacing w:before="0" w:after="0"/>
        <w:ind w:left="54" w:right="54"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MORE -</w:t>
      </w:r>
    </w:p>
    <w:p>
      <w:pPr>
        <w:pStyle w:val="TextBody"/>
        <w:bidi w:val="0"/>
        <w:spacing w:before="0" w:after="0"/>
        <w:ind w:left="0" w:right="0" w:hanging="0"/>
        <w:jc w:val="left"/>
        <w:rPr>
          <w:sz w:val="20"/>
        </w:rPr>
      </w:pPr>
      <w:r>
        <w:rPr>
          <w:sz w:val="20"/>
        </w:rPr>
        <w:t>Page 3</w:t>
      </w:r>
    </w:p>
    <w:p>
      <w:pPr>
        <w:pStyle w:val="TextBody"/>
        <w:bidi w:val="0"/>
        <w:spacing w:before="0" w:after="0"/>
        <w:ind w:left="54" w:right="54" w:hanging="0"/>
        <w:jc w:val="both"/>
        <w:rPr>
          <w:caps w:val="false"/>
          <w:smallCaps w:val="false"/>
        </w:rPr>
      </w:pPr>
      <w:r>
        <w:rPr>
          <w:caps w:val="false"/>
          <w:smallCaps w:val="false"/>
        </w:rPr>
        <w:t> </w:t>
      </w:r>
    </w:p>
    <w:p>
      <w:pPr>
        <w:pStyle w:val="TextBody"/>
        <w:bidi w:val="0"/>
        <w:spacing w:before="0" w:after="0"/>
        <w:ind w:left="54" w:right="54"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position w:val="7"/>
          <w:sz w:val="16"/>
          <w:sz w:val="20"/>
        </w:rPr>
        <w:t>3</w:t>
      </w:r>
      <w:r>
        <w:rPr>
          <w:rFonts w:ascii="Times New Roman;Times;Serif" w:hAnsi="Times New Roman;Times;Serif"/>
          <w:b/>
          <w:i/>
          <w:caps w:val="false"/>
          <w:smallCaps w:val="false"/>
          <w:sz w:val="20"/>
        </w:rPr>
        <w:t xml:space="preserve"> Consolidated total leverage is defined as total debt divided by adjusted EBITDA</w:t>
      </w:r>
      <w:r>
        <w:rPr>
          <w:rFonts w:ascii="Times New Roman;Times;Serif" w:hAnsi="Times New Roman;Times;Serif"/>
          <w:b/>
          <w:i/>
          <w:caps w:val="false"/>
          <w:smallCaps w:val="false"/>
          <w:position w:val="7"/>
          <w:sz w:val="16"/>
          <w:sz w:val="20"/>
        </w:rPr>
        <w:t xml:space="preserve">1 </w:t>
      </w:r>
      <w:r>
        <w:rPr>
          <w:rFonts w:ascii="Times New Roman;Times;Serif" w:hAnsi="Times New Roman;Times;Serif"/>
          <w:b/>
          <w:i/>
          <w:caps w:val="false"/>
          <w:smallCaps w:val="false"/>
          <w:sz w:val="20"/>
        </w:rPr>
        <w:t>(as defined under our revolving credit facility), and consolidated senior leverage is defined as total debt (other than subordinated debt and unsecured debt) divided by adjusted EBITDA</w:t>
      </w:r>
      <w:r>
        <w:rPr>
          <w:rFonts w:ascii="Times New Roman;Times;Serif" w:hAnsi="Times New Roman;Times;Serif"/>
          <w:b/>
          <w:i/>
          <w:caps w:val="false"/>
          <w:smallCaps w:val="false"/>
          <w:position w:val="7"/>
          <w:sz w:val="16"/>
          <w:sz w:val="20"/>
        </w:rPr>
        <w:t>1</w:t>
      </w:r>
      <w:r>
        <w:rPr>
          <w:rFonts w:ascii="Times New Roman;Times;Serif" w:hAnsi="Times New Roman;Times;Serif"/>
          <w:b/>
          <w:i/>
          <w:caps w:val="false"/>
          <w:smallCaps w:val="false"/>
          <w:sz w:val="20"/>
        </w:rPr>
        <w:t xml:space="preserve"> (as defined under our revolving credit facility). Available capacity is defined as cash and cash equivalents on hand plus revolving credit facility capacity less amount drawn on revolving credit facility and standby letters of credit.</w:t>
      </w:r>
    </w:p>
    <w:p>
      <w:pPr>
        <w:pStyle w:val="TextBody"/>
        <w:bidi w:val="0"/>
        <w:spacing w:before="0" w:after="0"/>
        <w:ind w:left="54" w:right="54" w:hanging="0"/>
        <w:jc w:val="both"/>
        <w:rPr>
          <w:caps w:val="false"/>
          <w:smallCaps w:val="false"/>
        </w:rPr>
      </w:pPr>
      <w:r>
        <w:rPr>
          <w:caps w:val="false"/>
          <w:smallCaps w:val="false"/>
        </w:rPr>
        <w:t> </w:t>
      </w:r>
    </w:p>
    <w:p>
      <w:pPr>
        <w:pStyle w:val="TextBody"/>
        <w:bidi w:val="0"/>
        <w:spacing w:before="0" w:after="0"/>
        <w:ind w:left="54" w:right="54"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2026 Fourth Quarter Conference Call</w:t>
      </w:r>
    </w:p>
    <w:p>
      <w:pPr>
        <w:pStyle w:val="TextBody"/>
        <w:bidi w:val="0"/>
        <w:spacing w:before="0" w:after="0"/>
        <w:ind w:left="54" w:right="5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live broadcast of Cracker Barrel’s quarterly conference call will be available to the public online at investor.crackerbarrel.com later today beginning at 8:15 a.m. (ET). The online replay will be available later today.</w:t>
      </w:r>
    </w:p>
    <w:p>
      <w:pPr>
        <w:pStyle w:val="TextBody"/>
        <w:bidi w:val="0"/>
        <w:spacing w:before="0" w:after="0"/>
        <w:ind w:left="54" w:right="54" w:hanging="0"/>
        <w:jc w:val="both"/>
        <w:rPr>
          <w:caps w:val="false"/>
          <w:smallCaps w:val="false"/>
        </w:rPr>
      </w:pPr>
      <w:r>
        <w:rPr>
          <w:caps w:val="false"/>
          <w:smallCaps w:val="false"/>
        </w:rPr>
        <w:t> </w:t>
      </w:r>
    </w:p>
    <w:p>
      <w:pPr>
        <w:pStyle w:val="TextBody"/>
        <w:bidi w:val="0"/>
        <w:spacing w:before="0" w:after="0"/>
        <w:ind w:left="54" w:right="5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Cracker Barrel Old Country Store®</w:t>
      </w:r>
    </w:p>
    <w:p>
      <w:pPr>
        <w:pStyle w:val="TextBody"/>
        <w:bidi w:val="0"/>
        <w:spacing w:before="0" w:after="0"/>
        <w:ind w:left="54" w:right="5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Cracker Barrel Old Country Store, Inc. – rooted in a rich legacy of warmth, generosity, and tradition – is on a mission to bring the goodness of country hospitality to life. Since 1969, when the first store opened in Lebanon, Tenn., Cracker Barrel has been serving up abundant portions of craveable homestyle food and offering one-of-a-kind retail finds. With over 650 company-owned Cracker Barrel Old Country Store® locations in 43 states, the brand continues to honor its heritage while welcoming everyone with more than a meal. For more information, visit CrackerBarrel.com.</w:t>
      </w:r>
    </w:p>
    <w:p>
      <w:pPr>
        <w:pStyle w:val="TextBody"/>
        <w:bidi w:val="0"/>
        <w:spacing w:before="0" w:after="0"/>
        <w:ind w:left="54" w:right="54" w:hanging="0"/>
        <w:jc w:val="both"/>
        <w:rPr>
          <w:caps w:val="false"/>
          <w:smallCaps w:val="false"/>
        </w:rPr>
      </w:pPr>
      <w:r>
        <w:rPr>
          <w:caps w:val="false"/>
          <w:smallCaps w:val="false"/>
        </w:rPr>
        <w:t> </w:t>
      </w:r>
    </w:p>
    <w:p>
      <w:pPr>
        <w:pStyle w:val="TextBody"/>
        <w:bidi w:val="0"/>
        <w:spacing w:before="0" w:after="0"/>
        <w:ind w:left="54" w:right="5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CBRL-F</w:t>
      </w:r>
    </w:p>
    <w:p>
      <w:pPr>
        <w:pStyle w:val="TextBody"/>
        <w:bidi w:val="0"/>
        <w:spacing w:before="0" w:after="0"/>
        <w:ind w:left="54" w:right="54"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MORE -</w:t>
      </w:r>
    </w:p>
    <w:p>
      <w:pPr>
        <w:pStyle w:val="TextBody"/>
        <w:bidi w:val="0"/>
        <w:spacing w:before="0" w:after="0"/>
        <w:ind w:left="0" w:right="0" w:hanging="0"/>
        <w:jc w:val="left"/>
        <w:rPr>
          <w:sz w:val="20"/>
        </w:rPr>
      </w:pPr>
      <w:r>
        <w:rPr>
          <w:sz w:val="20"/>
        </w:rPr>
        <w:t>Page 4</w:t>
      </w:r>
    </w:p>
    <w:p>
      <w:pPr>
        <w:pStyle w:val="TextBody"/>
        <w:bidi w:val="0"/>
        <w:spacing w:before="0" w:after="0"/>
        <w:ind w:left="54" w:right="54"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for specific historical information, certain of the matters discussed in this press release may express or imply projections of items such as revenues or expenditures, statements of plans and objectives or future operations or statements of future economic performance. These and similar statements regarding events or results that the Company expects will or may occur in the future are forward-looking statements concerning matters that involve risks, uncertainties and other factors which may cause the actual results and performance of the Company to differ materially from those expressed or implied by such forward-looking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The Company believes that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factors and risks that may result in actual results differing from this forward-looking information include, but are not limited to risks and uncertainties associated with inflationary conditions with respect to the price of commodities, ingredients, transportation, distribution and labor; disruptions to the Company’s restaurant or retail supply chain; effects of changes in international, national, regional and local economic, political and market conditions (such as the imposition of trade barriers or other changes in trade policy) on our business; the Company’s ability to manage retail inventory and merchandise mix; the Company’s ability to sustain or the effects of plans intended to improve operational or marketing execution and performance or liquidity; the impact of adverse or extreme weather events on sales and customer travel; the effects of increased competition at the Company’s locations on sales and on labor recruiting, cost, and retention; consumer behavior based on negative publicity or changes in consumer health or dietary trends or safety aspects of the Company’s food or products or those of the restaurant industry in general, including concerns about outbreaks of infectious disease; the effects of the Company’s indebtedness and associated restrictions on the Company’s financial and operating flexibility and ability to execute or pursue its operating plans and objectives; changes in interest rates, increases in borrowed capital or capital market conditions affecting the Company’s financing costs and ability to refinance its indebtedness, in whole or in part; the Company’s reliance on a single distribution facility and certain significant vendors, particularly for foreign-sourced retail products; information technology disruptions and data privacy and information security breaches, whether as a result of infrastructure failures, employee or vendor errors or actions of third parties; the Company’s compliance with privacy and data protection laws; changes in or implementation of additional governmental or regulatory rules, regulations and interpretations affecting tax, health and safety, animal welfare, pensions, insurance or other undeterminable areas; the actual results of pending, future or threatened litigation or governmental investigations; or the Company’s ability to manage the impact of negative social media attention and the costs and effects of negative publicity; the impact of activist shareholders; the Company’s ability to achieve aspirations, goals and projections related to its sustainability initiatives; the effects of local market and economic conditions on individual store locations, and uncertain profitability at any newly opened store locations; the Company’s ability to retain key personnel; the ability of and cost to the Company to recruit, train, and retain qualified hourly and management employees; uncertain performance of acquired businesses, strategic investments and other initiatives that the Company may pursue from time to time; the effects of business trends on the outlook for individual restaurant locations and the effect on the carrying value of those locations; general or regional economic weakness, business and societal conditions; discretionary income or personal expenditure activity of the Company’s customers; implementation of new or changes in interpretation of existing accounting principles generally accepted in the United States of America ("GAAP"); and other factors described from time to time in the Company’s filings with the Securities and Exchange Commission, press releases, and other communications. Any forward-looking statement made by the Company herein, or elsewhere, speaks only as of the date on which made. The Company expressly disclaims any intent, obligation or undertaking to update or revise any forward-looking statements made herein to reflect any change in the Company’s expectations with regard thereto or any change in events, conditions or circumstances on which any such statements are based.</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MORE -</w:t>
      </w:r>
    </w:p>
    <w:p>
      <w:pPr>
        <w:pStyle w:val="TextBody"/>
        <w:bidi w:val="0"/>
        <w:spacing w:before="0" w:after="0"/>
        <w:ind w:left="0" w:right="0" w:hanging="0"/>
        <w:jc w:val="left"/>
        <w:rPr>
          <w:sz w:val="20"/>
        </w:rPr>
      </w:pPr>
      <w:r>
        <w:rPr>
          <w:sz w:val="20"/>
        </w:rPr>
        <w:t>Page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CRACKER BARREL OLD COUNTRY STORE,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INCOME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 percentages and ratios)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0"/>
        <w:gridCol w:w="60"/>
        <w:gridCol w:w="125"/>
        <w:gridCol w:w="950"/>
        <w:gridCol w:w="80"/>
        <w:gridCol w:w="60"/>
        <w:gridCol w:w="125"/>
        <w:gridCol w:w="950"/>
        <w:gridCol w:w="80"/>
        <w:gridCol w:w="60"/>
        <w:gridCol w:w="146"/>
        <w:gridCol w:w="819"/>
        <w:gridCol w:w="80"/>
        <w:gridCol w:w="60"/>
        <w:gridCol w:w="125"/>
        <w:gridCol w:w="950"/>
        <w:gridCol w:w="80"/>
        <w:gridCol w:w="60"/>
        <w:gridCol w:w="125"/>
        <w:gridCol w:w="950"/>
        <w:gridCol w:w="80"/>
        <w:gridCol w:w="60"/>
        <w:gridCol w:w="127"/>
        <w:gridCol w:w="838"/>
        <w:gridCol w:w="95"/>
      </w:tblGrid>
      <w:tr>
        <w:trPr/>
        <w:tc>
          <w:tcPr>
            <w:tcW w:w="3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9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9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7/31/26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7/31/26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849,342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868,009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3,318,714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3,483,684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(exclusive of depreciation &amp; 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244,212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265,016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1,026,250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1,081,029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and other related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318,204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316,326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1,237,314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1,254,668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store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216,330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855,389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210,579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sale and leaseback transaction,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and store closing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sale of business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settlement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22,351,460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22,267,328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22,334,203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22,252,034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22,640,171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22,549,821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22,545,123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22,463,943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Ratio Analysis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12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Restaurant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Retail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(exclusive of depreciation &amp; 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and other related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store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sale and leaseback transaction,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and store closing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sale of business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settlement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MORE -</w:t>
      </w:r>
    </w:p>
    <w:p>
      <w:pPr>
        <w:pStyle w:val="TextBody"/>
        <w:bidi w:val="0"/>
        <w:spacing w:before="0" w:after="0"/>
        <w:ind w:left="0" w:right="0" w:hanging="0"/>
        <w:jc w:val="left"/>
        <w:rPr>
          <w:sz w:val="20"/>
        </w:rPr>
      </w:pPr>
      <w:r>
        <w:rPr>
          <w:sz w:val="20"/>
        </w:rPr>
        <w:t>Page 6</w:t>
      </w:r>
    </w:p>
    <w:tbl>
      <w:tblPr>
        <w:tblW w:w="4655" w:type="dxa"/>
        <w:jc w:val="left"/>
        <w:tblInd w:w="0" w:type="dxa"/>
        <w:tblLayout w:type="fixed"/>
        <w:tblCellMar>
          <w:top w:w="0" w:type="dxa"/>
          <w:left w:w="0" w:type="dxa"/>
          <w:bottom w:w="0" w:type="dxa"/>
          <w:right w:w="0" w:type="dxa"/>
        </w:tblCellMar>
      </w:tblPr>
      <w:tblGrid>
        <w:gridCol w:w="4655"/>
      </w:tblGrid>
      <w:tr>
        <w:trPr/>
        <w:tc>
          <w:tcPr>
            <w:tcW w:w="46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CRACKER BARREL OLD COUNTRY STORE, INC.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ableContents"/>
              <w:pBdr>
                <w:top w:val="single" w:sz="8" w:space="1" w:color="FFFFFF"/>
                <w:left w:val="single" w:sz="8" w:space="1" w:color="FFFFFF"/>
                <w:bottom w:val="single" w:sz="8" w:space="1" w:color="FFFFFF"/>
                <w:right w:val="single" w:sz="8" w:space="1" w:color="FFFFFF"/>
              </w:pBdr>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and in thousands, except share amounts)</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3935"/>
        <w:gridCol w:w="60"/>
        <w:gridCol w:w="125"/>
        <w:gridCol w:w="950"/>
        <w:gridCol w:w="60"/>
        <w:gridCol w:w="60"/>
        <w:gridCol w:w="125"/>
        <w:gridCol w:w="950"/>
        <w:gridCol w:w="75"/>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7/31/26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180,585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885,795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966,976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Operating lease right-of-use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799,797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806,084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2,022,407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2,161,884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152,737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169,848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Current portion of 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323,499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306,577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337,231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335,457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Long-term 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650,201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644,026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Other long-term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Shareholders’ equity,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478,206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461,689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2,022,407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2,161,884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issued and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22,351,460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22,267,724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504" w:right="504"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MORE -</w:t>
      </w:r>
    </w:p>
    <w:p>
      <w:pPr>
        <w:pStyle w:val="TextBody"/>
        <w:bidi w:val="0"/>
        <w:spacing w:before="0" w:after="0"/>
        <w:ind w:left="0" w:right="0" w:hanging="0"/>
        <w:jc w:val="left"/>
        <w:rPr>
          <w:sz w:val="20"/>
        </w:rPr>
      </w:pPr>
      <w:r>
        <w:rPr>
          <w:sz w:val="20"/>
        </w:rPr>
        <w:t>Page 7</w:t>
      </w:r>
    </w:p>
    <w:tbl>
      <w:tblPr>
        <w:tblW w:w="5345" w:type="dxa"/>
        <w:jc w:val="left"/>
        <w:tblInd w:w="0" w:type="dxa"/>
        <w:tblLayout w:type="fixed"/>
        <w:tblCellMar>
          <w:top w:w="0" w:type="dxa"/>
          <w:left w:w="0" w:type="dxa"/>
          <w:bottom w:w="0" w:type="dxa"/>
          <w:right w:w="0" w:type="dxa"/>
        </w:tblCellMar>
      </w:tblPr>
      <w:tblGrid>
        <w:gridCol w:w="5345"/>
      </w:tblGrid>
      <w:tr>
        <w:trPr/>
        <w:tc>
          <w:tcPr>
            <w:tcW w:w="53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CRACKER BARREL OLD COUNTRY STORE, INC.</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CASH FLOW STATEMENT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and in thousands)</w:t>
            </w:r>
          </w:p>
        </w:tc>
      </w:tr>
    </w:tbl>
    <w:p>
      <w:pPr>
        <w:pStyle w:val="TextBody"/>
        <w:bidi w:val="0"/>
        <w:spacing w:before="0" w:after="0"/>
        <w:ind w:left="0" w:right="0" w:hanging="0"/>
        <w:jc w:val="left"/>
        <w:rPr>
          <w:caps w:val="false"/>
          <w:smallCaps w:val="false"/>
        </w:rPr>
      </w:pPr>
      <w:r>
        <w:rPr>
          <w:caps w:val="false"/>
          <w:smallCaps w:val="false"/>
        </w:rPr>
        <w:t> </w:t>
      </w:r>
    </w:p>
    <w:tbl>
      <w:tblPr>
        <w:tblW w:w="9110" w:type="dxa"/>
        <w:jc w:val="left"/>
        <w:tblInd w:w="0" w:type="dxa"/>
        <w:tblLayout w:type="fixed"/>
        <w:tblCellMar>
          <w:top w:w="0" w:type="dxa"/>
          <w:left w:w="0" w:type="dxa"/>
          <w:bottom w:w="0" w:type="dxa"/>
          <w:right w:w="0" w:type="dxa"/>
        </w:tblCellMar>
      </w:tblPr>
      <w:tblGrid>
        <w:gridCol w:w="7055"/>
        <w:gridCol w:w="60"/>
        <w:gridCol w:w="125"/>
        <w:gridCol w:w="755"/>
        <w:gridCol w:w="80"/>
        <w:gridCol w:w="60"/>
        <w:gridCol w:w="125"/>
        <w:gridCol w:w="755"/>
        <w:gridCol w:w="95"/>
      </w:tblGrid>
      <w:tr>
        <w:trPr/>
        <w:tc>
          <w:tcPr>
            <w:tcW w:w="7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7/31/26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Loss on disposition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Gain on sale and leaseback transaction,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Loss on sale of business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Noncash lease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Amortization of asset recognized from gain on sale and leaseback transaction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Decrease in 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Increase (decrease) in 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Net changes in other assets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206,204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218,899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Purchase of property and equipment, net of insurance recoveries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(115,321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(158,647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Proceeds from sale of 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Net payments on 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(180,075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Proceeds from issuance of convertible senior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335,238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Net proceeds from settlement of bond hedge and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Repayment of convertible senior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Payment for capped call option related to convertible senior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Taxes withheld from issuance of share-based compensation awards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Deferred financing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Dividends on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(23,098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(34,589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MORE -</w:t>
      </w:r>
    </w:p>
    <w:p>
      <w:pPr>
        <w:pStyle w:val="TextBody"/>
        <w:bidi w:val="0"/>
        <w:spacing w:before="0" w:after="0"/>
        <w:ind w:left="0" w:right="0" w:hanging="0"/>
        <w:jc w:val="left"/>
        <w:rPr>
          <w:sz w:val="20"/>
        </w:rPr>
      </w:pPr>
      <w:r>
        <w:rPr>
          <w:sz w:val="20"/>
        </w:rPr>
        <w:t>Page 8</w:t>
      </w:r>
    </w:p>
    <w:p>
      <w:pPr>
        <w:pStyle w:val="TextBody"/>
        <w:bidi w:val="0"/>
        <w:spacing w:before="0" w:after="283"/>
        <w:jc w:val="left"/>
        <w:rPr/>
      </w:pPr>
      <w:r>
        <w:rPr/>
        <w:t> </w:t>
      </w:r>
    </w:p>
    <w:tbl>
      <w:tblPr>
        <w:tblW w:w="6838" w:type="dxa"/>
        <w:jc w:val="left"/>
        <w:tblInd w:w="0" w:type="dxa"/>
        <w:tblLayout w:type="fixed"/>
        <w:tblCellMar>
          <w:top w:w="0" w:type="dxa"/>
          <w:left w:w="0" w:type="dxa"/>
          <w:bottom w:w="0" w:type="dxa"/>
          <w:right w:w="0" w:type="dxa"/>
        </w:tblCellMar>
      </w:tblPr>
      <w:tblGrid>
        <w:gridCol w:w="4760"/>
        <w:gridCol w:w="60"/>
        <w:gridCol w:w="124"/>
        <w:gridCol w:w="693"/>
        <w:gridCol w:w="165"/>
        <w:gridCol w:w="124"/>
        <w:gridCol w:w="124"/>
        <w:gridCol w:w="693"/>
        <w:gridCol w:w="95"/>
      </w:tblGrid>
      <w:tr>
        <w:trPr/>
        <w:tc>
          <w:tcPr>
            <w:tcW w:w="4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7/31/26</w:t>
            </w:r>
          </w:p>
        </w:tc>
        <w:tc>
          <w:tcPr>
            <w:tcW w:w="165"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Company-owned units opened during quarter:</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Cracker Barrel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Maple Street Biscuit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Company-owned units closed or divested during quarter*:</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Cracker Barrel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6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Maple Street Biscuit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Company-owned units in operation at end of quarter:</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Cracker Barrel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Maple Street Biscuit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stores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During the fourth quarter of fiscal 2026, the Company divested MSBC. This resulted in the sale of 35 locations and the closure of the remaining 16 locations. Prior to the divestiture, the Company closed one MSBC unit.</w:t>
      </w:r>
    </w:p>
    <w:tbl>
      <w:tblPr>
        <w:tblW w:w="10077" w:type="dxa"/>
        <w:jc w:val="left"/>
        <w:tblInd w:w="0" w:type="dxa"/>
        <w:tblLayout w:type="fixed"/>
        <w:tblCellMar>
          <w:top w:w="0" w:type="dxa"/>
          <w:left w:w="0" w:type="dxa"/>
          <w:bottom w:w="0" w:type="dxa"/>
          <w:right w:w="0" w:type="dxa"/>
        </w:tblCellMar>
      </w:tblPr>
      <w:tblGrid>
        <w:gridCol w:w="5840"/>
        <w:gridCol w:w="60"/>
        <w:gridCol w:w="136"/>
        <w:gridCol w:w="760"/>
        <w:gridCol w:w="65"/>
        <w:gridCol w:w="65"/>
        <w:gridCol w:w="136"/>
        <w:gridCol w:w="760"/>
        <w:gridCol w:w="60"/>
        <w:gridCol w:w="60"/>
        <w:gridCol w:w="125"/>
        <w:gridCol w:w="845"/>
        <w:gridCol w:w="60"/>
        <w:gridCol w:w="60"/>
        <w:gridCol w:w="125"/>
        <w:gridCol w:w="845"/>
        <w:gridCol w:w="75"/>
      </w:tblGrid>
      <w:tr>
        <w:trPr/>
        <w:tc>
          <w:tcPr>
            <w:tcW w:w="5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2"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sz w:val="4"/>
                <w:szCs w:val="4"/>
              </w:rPr>
            </w:pPr>
            <w:r>
              <w:rPr>
                <w:sz w:val="4"/>
                <w:szCs w:val="4"/>
              </w:rPr>
            </w:r>
          </w:p>
        </w:tc>
        <w:tc>
          <w:tcPr>
            <w:tcW w:w="2060" w:type="dxa"/>
            <w:gridSpan w:val="6"/>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7/31/26</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7/31/26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(In thousands)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Restaurant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686,196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699,990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2,761,671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Retail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150,795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149,739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616,631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651,791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836,991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849,729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3,262,331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3,413,462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(exclusive of depreciation and rent): (In thousands)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Restaurant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178,211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184,067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701,732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730,824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Retail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62,772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332,394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Total cost of goods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240,983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260,446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1,011,328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1,063,218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Average unit volume*: (In thousands)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Restaurant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Retail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5,190.2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weeks*: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information is for Cracker Barrel stores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MORE -</w:t>
      </w:r>
    </w:p>
    <w:p>
      <w:pPr>
        <w:pStyle w:val="TextBody"/>
        <w:bidi w:val="0"/>
        <w:spacing w:before="0" w:after="0"/>
        <w:ind w:left="0" w:right="0" w:hanging="0"/>
        <w:jc w:val="left"/>
        <w:rPr>
          <w:sz w:val="20"/>
        </w:rPr>
      </w:pPr>
      <w:r>
        <w:rPr>
          <w:sz w:val="20"/>
        </w:rPr>
        <w:t>Page 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CRACKER BARREL OLD COUNTRY STORE,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Reconciliation of GAAP-Basis Operating Results to Non-GAAP Operating Results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and in thousands, except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Income and Earnings Per Share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accompanying press release, the Company makes reference to adjusted net income and adjusted earnings per share. The Company defines adjusted net income as net income, calculated in accordance with GAAP, excluding, to the extent the following items occurred during the periods presented: (i) impairment charges related to Cracker Barrel stores, and, for periods prior to the second quarter of fiscal 2025, store closing costs (ii) expenses related to the proxy contest in connection with the Company’s 2024 and 2025 annual meeting of shareholders, (iii) expenses associated with the Company’s strategic transformation initiative, (iv) a corporate restructuring charge that includes consulting fees related to business model improvement and severance related to a reduction in headcount, (v) a gain on extinguishment of debt related to the Company’s repurchase of $150 million aggregate principal amount of its 0.625% convertible senior notes due and repaid in June 2026, (vi) store closing costs associated with MSBC reorganization that occurred in the first quarter of fiscal 2026, (vii) a benefit of approximately $47 million related to a litigation settlement that occurred in the third quarter of fiscal 2026, (viii) a net gain on the sale-leaseback transaction that occurred in the fourth quarter of fiscal 2026, (ix) a non-cash loss on sale charge related to the divestiture of MSBC that occurred in the fourth quarter of fiscal 2026, (x) store closing costs related to the divestiture of MSBC, (xi) other non-cash impairment charges related to MSBC, (xii) severance in connection with our CEO transition and expenses related to acceleration of share-based compensation, and (xiii) the related tax impacts of the foregoing.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0"/>
        <w:gridCol w:w="60"/>
        <w:gridCol w:w="125"/>
        <w:gridCol w:w="950"/>
        <w:gridCol w:w="80"/>
        <w:gridCol w:w="60"/>
        <w:gridCol w:w="101"/>
        <w:gridCol w:w="564"/>
        <w:gridCol w:w="80"/>
        <w:gridCol w:w="60"/>
        <w:gridCol w:w="125"/>
        <w:gridCol w:w="950"/>
        <w:gridCol w:w="80"/>
        <w:gridCol w:w="60"/>
        <w:gridCol w:w="101"/>
        <w:gridCol w:w="564"/>
        <w:gridCol w:w="80"/>
        <w:gridCol w:w="60"/>
        <w:gridCol w:w="125"/>
        <w:gridCol w:w="950"/>
        <w:gridCol w:w="80"/>
        <w:gridCol w:w="60"/>
        <w:gridCol w:w="101"/>
        <w:gridCol w:w="564"/>
        <w:gridCol w:w="80"/>
        <w:gridCol w:w="60"/>
        <w:gridCol w:w="125"/>
        <w:gridCol w:w="950"/>
        <w:gridCol w:w="80"/>
        <w:gridCol w:w="60"/>
        <w:gridCol w:w="101"/>
        <w:gridCol w:w="564"/>
        <w:gridCol w:w="95"/>
      </w:tblGrid>
      <w:tr>
        <w:trPr/>
        <w:tc>
          <w:tcPr>
            <w:tcW w:w="2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00"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00"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7/31/26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Margin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Margin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7/31/26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Margin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Margin</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849,342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868,009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3,318,714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3,483,684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contest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restructuring charge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Cracker Barrel 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MSBC 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MSBC store closing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sale of MSBC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transition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transformation initiative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settlement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sale-leaseback transaction,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impact of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Earnings per share -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Earnings per share -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Earnings per share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Earnings per share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22,351,460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22,267,328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22,334,203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22,252,034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22,640,171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22,549,821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22,545,123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22,463,943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MORE -</w:t>
      </w:r>
    </w:p>
    <w:p>
      <w:pPr>
        <w:pStyle w:val="TextBody"/>
        <w:bidi w:val="0"/>
        <w:spacing w:before="0" w:after="0"/>
        <w:ind w:left="0" w:right="0" w:hanging="0"/>
        <w:jc w:val="left"/>
        <w:rPr>
          <w:sz w:val="20"/>
        </w:rPr>
      </w:pPr>
      <w:r>
        <w:rPr>
          <w:sz w:val="20"/>
        </w:rPr>
        <w:t>Page 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CRACKER BARREL OLD COUNTRY STORE,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Reconciliation of GAAP-Basis Operating Results to Non-GAAP Operating Results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and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EBITDA/Adjusted EBITDA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accompanying press release and the below reconciliation tables, the Company makes reference to EBITDA and adjusted EBITDA. The Company defines EBITDA as net income, calculated in accordance with GAAP, excluding depreciation and amortization, interest expense and tax expense. The Company further adjusts EBITDA to exclude, to the extent the following items occurred during the periods presented: (i) expenses related to share-based compensation, (ii) impairment charges related to Cracker Barrel stores, and, for periods prior to the second quarter of fiscal 2025, store closing costs, (iii) expenses related to the proxy contest in connection with the Company’s 2024 and 2025 annual meeting of shareholders, (iv) expenses associated with the Company’s strategic transformation initiative, (v) a corporate restructuring charge that includes consulting fees related to business model improvement and severance related to a reduction in headcount, (vi) a gain on extinguishment of debt related to the Company’s repurchase of $150 million aggregate principal amount of its 0.625% convertible senior notes due and repaid in June 2026, (vii) store closing costs associated with MSBC reorganization that occurred in the first quarter of fiscal 2026, (viii) a benefit of approximately $47 million related to a litigation settlement that occurred in the third quarter of fiscal 2026, (ix) a net gain on the sale-leaseback transaction that occurred in the fourth quarter of fiscal 2026, (x) a non-cash loss on sale charge related to the divestiture of MSBC that occurred in the fourth quarter of fiscal 2026, (xi) store closing costs related to the divestiture of MSBC, (xii) other non-cash impairment charges related to MSBC, and (xiii) severance in connection with our CEO transition and expenses related to acceleration of share-based compensation. The Company calculates EBITDA and adjusted EBITDA margin by dividing EBITDA and adjusted EBITDA by consolidated GAAP revenue. The Company believes that presentation of EBITDA and adjusted EBITDA (together with related margin figures) provides investors with an enhanced understanding of the Company's operating performance and debt leverage metrics and enhances comparability with the Company’s historical results, and that the presentation of this non-GAAP financial measure, when combined with the primary presentation of net income, is beneficial to an investor’s complete understanding of the Company’s operating performance. This information is not intended to be considered in isolation or as a substitute for net income or net income margin prepared in accordance with GAAP.</w:t>
      </w:r>
    </w:p>
    <w:p>
      <w:pPr>
        <w:pStyle w:val="TextBody"/>
        <w:bidi w:val="0"/>
        <w:spacing w:before="0" w:after="0"/>
        <w:ind w:left="0" w:right="0" w:hanging="0"/>
        <w:jc w:val="both"/>
        <w:rPr>
          <w:caps w:val="false"/>
          <w:smallCaps w:val="false"/>
        </w:rPr>
      </w:pPr>
      <w:r>
        <w:rPr>
          <w:caps w:val="false"/>
          <w:smallCaps w:val="false"/>
        </w:rPr>
        <w:t> </w:t>
      </w:r>
    </w:p>
    <w:tbl>
      <w:tblPr>
        <w:tblW w:w="7612" w:type="dxa"/>
        <w:jc w:val="left"/>
        <w:tblInd w:w="0" w:type="dxa"/>
        <w:tblLayout w:type="fixed"/>
        <w:tblCellMar>
          <w:top w:w="0" w:type="dxa"/>
          <w:left w:w="0" w:type="dxa"/>
          <w:bottom w:w="0" w:type="dxa"/>
          <w:right w:w="0" w:type="dxa"/>
        </w:tblCellMar>
      </w:tblPr>
      <w:tblGrid>
        <w:gridCol w:w="3470"/>
        <w:gridCol w:w="60"/>
        <w:gridCol w:w="158"/>
        <w:gridCol w:w="880"/>
        <w:gridCol w:w="101"/>
        <w:gridCol w:w="75"/>
        <w:gridCol w:w="75"/>
        <w:gridCol w:w="633"/>
        <w:gridCol w:w="80"/>
        <w:gridCol w:w="60"/>
        <w:gridCol w:w="141"/>
        <w:gridCol w:w="958"/>
        <w:gridCol w:w="90"/>
        <w:gridCol w:w="68"/>
        <w:gridCol w:w="101"/>
        <w:gridCol w:w="567"/>
        <w:gridCol w:w="9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7/31/26</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Margin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7/31/26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Margin</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849,342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3,318,714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12,204</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31,675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Depreciation &amp;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31,345</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123,105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2,954</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Tax expense (tax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44,489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158,057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Share-based compensation,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4,291</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Proxy contest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Corporate restructuring charge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8,743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Cracker Barrel 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13,028</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MSBC 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8,523</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MSBC store closing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5,430</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Loss on sale of MSBC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27,039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27,039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CEO transition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6,675</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Litigation settlement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(47,422</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Gain on sale-leaseback transaction,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(47,421</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(47,421</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62,054</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147,714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8032" w:type="dxa"/>
        <w:jc w:val="left"/>
        <w:tblInd w:w="0" w:type="dxa"/>
        <w:tblLayout w:type="fixed"/>
        <w:tblCellMar>
          <w:top w:w="0" w:type="dxa"/>
          <w:left w:w="0" w:type="dxa"/>
          <w:bottom w:w="0" w:type="dxa"/>
          <w:right w:w="0" w:type="dxa"/>
        </w:tblCellMar>
      </w:tblPr>
      <w:tblGrid>
        <w:gridCol w:w="3890"/>
        <w:gridCol w:w="60"/>
        <w:gridCol w:w="158"/>
        <w:gridCol w:w="880"/>
        <w:gridCol w:w="101"/>
        <w:gridCol w:w="75"/>
        <w:gridCol w:w="75"/>
        <w:gridCol w:w="633"/>
        <w:gridCol w:w="80"/>
        <w:gridCol w:w="60"/>
        <w:gridCol w:w="141"/>
        <w:gridCol w:w="958"/>
        <w:gridCol w:w="90"/>
        <w:gridCol w:w="68"/>
        <w:gridCol w:w="101"/>
        <w:gridCol w:w="567"/>
        <w:gridCol w:w="9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8/1/25</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Margin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Margin</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868,009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3,483,684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6,754</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46,379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Depreciation &amp;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31,859</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122,238</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4,705</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20,489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Tax expense (tax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(8,653</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39,023</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180,453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0"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Strategic transformation initiative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7,263</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Proxy contest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Cracker Barrel 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4,705</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5,947</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MSBC 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11,485</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Gain on extinguishment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(3,186</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(3,186</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55,713</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224,264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END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4762</Words>
  <Characters>26055</Characters>
  <CharactersWithSpaces>32909</CharactersWithSpaces>
  <Paragraphs>3896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